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center"/>
        <w:spacing w:lineRule="auto" w:line="360" w:before="0" w:after="0"/>
        <w:pageBreakBefore w:val="0"/>
        <w:ind w:right="0" w:firstLine="540"/>
        <w:rPr>
          <w:rStyle w:val="PO1"/>
          <w:spacing w:val="0"/>
          <w:b w:val="1"/>
          <w:color w:val="auto"/>
          <w:position w:val="0"/>
          <w:sz w:val="30"/>
          <w:szCs w:val="30"/>
          <w:rFonts w:ascii="黑体" w:eastAsia="黑体" w:hAnsi="黑体" w:hint="default"/>
        </w:rPr>
        <w:snapToGrid w:val="on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30"/>
          <w:szCs w:val="30"/>
          <w:rFonts w:ascii="黑体" w:eastAsia="黑体" w:hAnsi="黑体" w:hint="default"/>
        </w:rPr>
        <w:t>转发研究生院关于学位授予信息录入通知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2018年第四批授予学位研究生的学位信息上报工作做如下安排：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540"/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（1）2018年12月10日之前已完成学位论文答辩但未授予学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位的</w:t>
      </w:r>
      <w:r>
        <w:rPr>
          <w:rStyle w:val="PO1"/>
          <w:spacing w:val="0"/>
          <w:color w:val="auto"/>
          <w:position w:val="0"/>
          <w:sz w:val="28"/>
          <w:szCs w:val="28"/>
          <w:em w:val="dot"/>
          <w:rFonts w:ascii="仿宋_GB2312" w:eastAsia="仿宋_GB2312" w:hAnsi="仿宋_GB2312" w:hint="default"/>
        </w:rPr>
        <w:t>博士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、</w:t>
      </w:r>
      <w:r>
        <w:rPr>
          <w:rStyle w:val="PO1"/>
          <w:spacing w:val="0"/>
          <w:color w:val="auto"/>
          <w:position w:val="0"/>
          <w:sz w:val="28"/>
          <w:szCs w:val="28"/>
          <w:em w:val="dot"/>
          <w:rFonts w:ascii="仿宋_GB2312" w:eastAsia="仿宋_GB2312" w:hAnsi="仿宋_GB2312" w:hint="default"/>
        </w:rPr>
        <w:t>硕士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研究生请于12月14日至12月20日登录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https://xxnb.chinadegrees.cn/cdgdc/signIn?school=10294，进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行学位信息录入。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540"/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（2）“学位信息录入系统”登录</w:t>
      </w: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仿宋_GB2312" w:eastAsia="仿宋_GB2312" w:hAnsi="仿宋_GB2312" w:hint="default"/>
        </w:rPr>
        <w:t>用户名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为：河海大学研究生学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号，</w:t>
      </w: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仿宋_GB2312" w:eastAsia="仿宋_GB2312" w:hAnsi="仿宋_GB2312" w:hint="default"/>
        </w:rPr>
        <w:t>密码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为个人身份证号后6位（留学生入学时的护照号后六位）。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（3）页面未显示照片者，请务必将电子照片交所属学院研究生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秘书上传。指标：单张照片大小5K-200k；图片尺寸110-390（宽）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*150-576（高）；格式：</w:t>
      </w:r>
      <w:r>
        <w:rPr>
          <w:rStyle w:val="PO1"/>
          <w:spacing w:val="0"/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JPG；被摄人服装：白色或浅色系；照片背</w:t>
      </w:r>
      <w:r>
        <w:rPr>
          <w:rStyle w:val="PO1"/>
          <w:spacing w:val="0"/>
          <w:b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景：单一蓝色；以身份证号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为照片名。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（4）研究生必须从系统打印本人</w:t>
      </w:r>
      <w:r>
        <w:rPr>
          <w:rStyle w:val="PO1"/>
          <w:spacing w:val="0"/>
          <w:color w:val="auto"/>
          <w:position w:val="0"/>
          <w:sz w:val="28"/>
          <w:szCs w:val="28"/>
          <w:em w:val="dot"/>
          <w:rFonts w:ascii="仿宋_GB2312" w:eastAsia="仿宋_GB2312" w:hAnsi="仿宋_GB2312" w:hint="default"/>
        </w:rPr>
        <w:t>带照片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的《河海大学</w:t>
      </w: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仿宋_GB2312" w:eastAsia="仿宋_GB2312" w:hAnsi="仿宋_GB2312" w:hint="default"/>
        </w:rPr>
        <w:t>研究生学</w:t>
      </w: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仿宋_GB2312" w:eastAsia="仿宋_GB2312" w:hAnsi="仿宋_GB2312" w:hint="default"/>
        </w:rPr>
        <w:t>位获得者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基本信息表》并签字确认后（特别注意所属学科，毕业时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间为答辩时间）</w:t>
      </w:r>
      <w:r>
        <w:rPr>
          <w:rStyle w:val="PO1"/>
          <w:spacing w:val="0"/>
          <w:color w:val="auto"/>
          <w:position w:val="0"/>
          <w:sz w:val="28"/>
          <w:szCs w:val="28"/>
          <w:em w:val="dot"/>
          <w:rFonts w:ascii="仿宋_GB2312" w:eastAsia="仿宋_GB2312" w:hAnsi="仿宋_GB2312" w:hint="default"/>
        </w:rPr>
        <w:t>交学院存档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，</w:t>
      </w:r>
      <w:r>
        <w:rPr>
          <w:rStyle w:val="PO1"/>
          <w:spacing w:val="0"/>
          <w:color w:val="auto"/>
          <w:position w:val="0"/>
          <w:sz w:val="28"/>
          <w:szCs w:val="28"/>
          <w:em w:val="dot"/>
          <w:rFonts w:ascii="仿宋_GB2312" w:eastAsia="仿宋_GB2312" w:hAnsi="仿宋_GB2312" w:hint="default"/>
        </w:rPr>
        <w:t>备查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（5）各学院须在报送校学位委员会审议材料的后在学位信息采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集系统里进行学位预授予工作。待校学位评定委员会审议并通过学位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获得者名单后，由研究生院审核预授予信息后反馈至各学院，由学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院确认后再上报至研究生院。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（6）学位信息必须填写完整才能提交，一旦提交将无法自行修</w:t>
      </w: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改，务请谨慎。</w:t>
      </w:r>
    </w:p>
    <w:p>
      <w:pPr>
        <w:bidi w:val="0"/>
        <w:numPr>
          <w:ilvl w:val="0"/>
          <w:numId w:val="0"/>
        </w:numPr>
        <w:jc w:val="right"/>
        <w:spacing w:lineRule="auto" w:line="360" w:before="0" w:after="0"/>
        <w:pageBreakBefore w:val="0"/>
        <w:ind w:right="660" w:firstLine="540"/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研究生院学位办公室</w:t>
      </w:r>
    </w:p>
    <w:p>
      <w:pPr>
        <w:bidi w:val="0"/>
        <w:numPr>
          <w:ilvl w:val="0"/>
          <w:numId w:val="0"/>
        </w:numPr>
        <w:jc w:val="right"/>
        <w:spacing w:lineRule="auto" w:line="360" w:before="0" w:after="0"/>
        <w:pageBreakBefore w:val="0"/>
        <w:ind w:right="860" w:firstLine="540"/>
        <w:rPr>
          <w:color w:val="auto"/>
          <w:position w:val="0"/>
          <w:sz w:val="21"/>
          <w:szCs w:val="21"/>
          <w:rFonts w:ascii="Calibri" w:eastAsia="宋体" w:hAnsi="宋体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_GB2312" w:eastAsia="仿宋_GB2312" w:hAnsi="仿宋_GB2312" w:hint="default"/>
        </w:rPr>
        <w:t>2018年11月8日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11906" w:h="16838"/>
      <w:pgMar w:top="1440" w:left="1800" w:bottom="1440" w:right="1800" w:header="851" w:footer="992" w:gutter="0"/>
      <w:pgNumType w:fmt="decimal"/>
      <w:pgBorders w:display="allPages" w:offsetFrom="text" w:zOrder="front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